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913E" w14:textId="06933B2C" w:rsidR="00617BB6" w:rsidRPr="00617BB6" w:rsidRDefault="00B6601C" w:rsidP="00617BB6">
      <w:pPr>
        <w:pStyle w:val="Heading1"/>
        <w:rPr>
          <w:lang w:val="nl-NL"/>
        </w:rPr>
      </w:pPr>
      <w:r w:rsidRPr="00617BB6"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18A0BE87" wp14:editId="08C725A7">
            <wp:simplePos x="0" y="0"/>
            <wp:positionH relativeFrom="column">
              <wp:posOffset>4418121</wp:posOffset>
            </wp:positionH>
            <wp:positionV relativeFrom="paragraph">
              <wp:posOffset>473</wp:posOffset>
            </wp:positionV>
            <wp:extent cx="1518285" cy="745490"/>
            <wp:effectExtent l="0" t="0" r="5715" b="3810"/>
            <wp:wrapSquare wrapText="bothSides"/>
            <wp:docPr id="1563867739" name="Picture 2" descr="A green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67739" name="Picture 2" descr="A green logo with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BB6">
        <w:rPr>
          <w:lang w:val="nl-NL"/>
        </w:rPr>
        <w:t>Toekomst Vathorst en Hooglanderveen 2026-2030</w:t>
      </w:r>
    </w:p>
    <w:p w14:paraId="27C9D451" w14:textId="6785435B" w:rsidR="003A5AD4" w:rsidRPr="00617BB6" w:rsidRDefault="003A5AD4" w:rsidP="00617BB6">
      <w:pPr>
        <w:rPr>
          <w:lang w:val="nl-NL"/>
        </w:rPr>
      </w:pPr>
    </w:p>
    <w:p w14:paraId="6268DB74" w14:textId="77777777" w:rsidR="00617BB6" w:rsidRPr="00617BB6" w:rsidRDefault="00617BB6" w:rsidP="00617BB6">
      <w:pPr>
        <w:rPr>
          <w:lang w:val="nl-NL"/>
        </w:rPr>
      </w:pPr>
      <w:r w:rsidRPr="00617BB6">
        <w:rPr>
          <w:rStyle w:val="Strong"/>
          <w:lang w:val="nl-NL"/>
        </w:rPr>
        <w:t>Aan:</w:t>
      </w:r>
      <w:r w:rsidRPr="00617BB6">
        <w:rPr>
          <w:lang w:val="nl-NL"/>
        </w:rPr>
        <w:t xml:space="preserve"> </w:t>
      </w:r>
      <w:hyperlink r:id="rId8" w:history="1">
        <w:r w:rsidRPr="00617BB6">
          <w:rPr>
            <w:rStyle w:val="Hyperlink"/>
            <w:lang w:val="nl-NL"/>
          </w:rPr>
          <w:t>bestuur@belangvanvathorst.nl</w:t>
        </w:r>
      </w:hyperlink>
      <w:r w:rsidRPr="00617BB6">
        <w:rPr>
          <w:lang w:val="nl-NL"/>
        </w:rPr>
        <w:br/>
      </w:r>
      <w:r w:rsidRPr="00617BB6">
        <w:rPr>
          <w:rStyle w:val="Strong"/>
          <w:lang w:val="nl-NL"/>
        </w:rPr>
        <w:t>Betreft:</w:t>
      </w:r>
      <w:r w:rsidRPr="00617BB6">
        <w:rPr>
          <w:lang w:val="nl-NL"/>
        </w:rPr>
        <w:t xml:space="preserve"> Reactie BBB Amersfoort – Toekomst Vathorst en Hooglanderveen 2026–2030</w:t>
      </w:r>
    </w:p>
    <w:p w14:paraId="6BB7EE0B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Geachte heer De Feijter,</w:t>
      </w:r>
    </w:p>
    <w:p w14:paraId="0A341456" w14:textId="6165C07A" w:rsidR="00617BB6" w:rsidRPr="00F85E4B" w:rsidRDefault="00617BB6" w:rsidP="00617BB6">
      <w:pPr>
        <w:rPr>
          <w:rStyle w:val="relative"/>
          <w:lang w:val="nl-NL"/>
        </w:rPr>
      </w:pPr>
      <w:r w:rsidRPr="00F85E4B">
        <w:rPr>
          <w:lang w:val="nl-NL"/>
        </w:rPr>
        <w:t xml:space="preserve">Dank voor uw brief en de tien kernvragen over de toekomst van Vathorst en </w:t>
      </w:r>
      <w:r w:rsidR="00F85E4B" w:rsidRPr="00F85E4B">
        <w:rPr>
          <w:lang w:val="nl-NL"/>
        </w:rPr>
        <w:t xml:space="preserve">Hooglanderveen. </w:t>
      </w:r>
      <w:r w:rsidR="00F85E4B" w:rsidRPr="00F85E4B">
        <w:rPr>
          <w:lang w:val="nl-NL"/>
        </w:rPr>
        <w:t>Wij waarderen het dat u partijen vraagt hun positie concreet en toetsbaar te maken. Dat draagt bij aan transparantie richting bewoners.</w:t>
      </w:r>
    </w:p>
    <w:p w14:paraId="466C9356" w14:textId="77777777" w:rsidR="00196CA1" w:rsidRDefault="00196CA1" w:rsidP="00617BB6">
      <w:pPr>
        <w:rPr>
          <w:lang w:val="nl-NL"/>
        </w:rPr>
      </w:pPr>
      <w:r w:rsidRPr="00196CA1">
        <w:rPr>
          <w:lang w:val="nl-NL"/>
        </w:rPr>
        <w:t>Voor BBB Amersfoort is Vathorst en Hooglanderveen geen “ontwikkelruimte”, maar een gemeenschap waar mensen bewust voor hebben gekozen. Groei mag de kwaliteit van wonen niet uithollen.</w:t>
      </w:r>
    </w:p>
    <w:p w14:paraId="06F5BB4F" w14:textId="4DAB79CD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Wij herkennen het gevoel dat u beschrijft: een wijk en dorp die zich snel ontwikkelen, terwijl bewoners behoefte hebben aan duidelijkheid, invloed en samenhang. Voor BBB Amersfoort staat één uitgangspunt centraal:</w:t>
      </w:r>
    </w:p>
    <w:p w14:paraId="1C1F8398" w14:textId="77777777" w:rsidR="00617BB6" w:rsidRPr="00617BB6" w:rsidRDefault="00617BB6" w:rsidP="00617BB6">
      <w:pPr>
        <w:rPr>
          <w:lang w:val="nl-NL"/>
        </w:rPr>
      </w:pPr>
      <w:r w:rsidRPr="00617BB6">
        <w:rPr>
          <w:rStyle w:val="Strong"/>
          <w:lang w:val="nl-NL"/>
        </w:rPr>
        <w:t>Groei is alleen houdbaar als bewoners zich gehoord en serieus genomen voelen.</w:t>
      </w:r>
    </w:p>
    <w:p w14:paraId="0008130C" w14:textId="49AF8D13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 xml:space="preserve">Hieronder geven wij onze inhoudelijke </w:t>
      </w:r>
      <w:r w:rsidR="000022DC">
        <w:rPr>
          <w:lang w:val="nl-NL"/>
        </w:rPr>
        <w:t>reactie</w:t>
      </w:r>
      <w:r w:rsidRPr="00617BB6">
        <w:rPr>
          <w:lang w:val="nl-NL"/>
        </w:rPr>
        <w:t xml:space="preserve">, </w:t>
      </w:r>
      <w:r w:rsidR="000022DC">
        <w:rPr>
          <w:lang w:val="nl-NL"/>
        </w:rPr>
        <w:t xml:space="preserve">waarbij wij </w:t>
      </w:r>
      <w:r w:rsidRPr="00617BB6">
        <w:rPr>
          <w:lang w:val="nl-NL"/>
        </w:rPr>
        <w:t xml:space="preserve">nadrukkelijk </w:t>
      </w:r>
      <w:r w:rsidR="000022DC">
        <w:rPr>
          <w:lang w:val="nl-NL"/>
        </w:rPr>
        <w:t>kijken naar</w:t>
      </w:r>
      <w:r w:rsidRPr="00617BB6">
        <w:rPr>
          <w:lang w:val="nl-NL"/>
        </w:rPr>
        <w:t xml:space="preserve"> samenwerking en uitvoerbaarheid.</w:t>
      </w:r>
    </w:p>
    <w:p w14:paraId="50CF6902" w14:textId="10145E1C" w:rsidR="00617BB6" w:rsidRPr="00617BB6" w:rsidRDefault="00617BB6" w:rsidP="00617BB6">
      <w:pPr>
        <w:rPr>
          <w:lang w:val="nl-NL"/>
        </w:rPr>
      </w:pPr>
    </w:p>
    <w:p w14:paraId="3FFC4DAA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t>1. Wonen en groei</w:t>
      </w:r>
    </w:p>
    <w:p w14:paraId="4D3C555D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Vathorst is ontwikkeld als ruime, groene gezinswijk. Dat karakter verdient bescherming.</w:t>
      </w:r>
    </w:p>
    <w:p w14:paraId="1EA3AC20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BBB kiest primair voor:</w:t>
      </w:r>
    </w:p>
    <w:p w14:paraId="080F0B37" w14:textId="6B1F0F2C" w:rsidR="00617BB6" w:rsidRPr="00617BB6" w:rsidRDefault="00617BB6" w:rsidP="00617BB6">
      <w:pPr>
        <w:pStyle w:val="ListParagraph"/>
        <w:numPr>
          <w:ilvl w:val="0"/>
          <w:numId w:val="30"/>
        </w:numPr>
        <w:rPr>
          <w:lang w:val="nl-NL"/>
        </w:rPr>
      </w:pPr>
      <w:r w:rsidRPr="00617BB6">
        <w:rPr>
          <w:lang w:val="nl-NL"/>
        </w:rPr>
        <w:t>betaalbare gezinswoningen met voldoende woon- en buitenruimte,</w:t>
      </w:r>
    </w:p>
    <w:p w14:paraId="442DEA50" w14:textId="11BA21B7" w:rsidR="00617BB6" w:rsidRPr="00617BB6" w:rsidRDefault="00617BB6" w:rsidP="00617BB6">
      <w:pPr>
        <w:pStyle w:val="ListParagraph"/>
        <w:numPr>
          <w:ilvl w:val="0"/>
          <w:numId w:val="30"/>
        </w:numPr>
        <w:rPr>
          <w:lang w:val="nl-NL"/>
        </w:rPr>
      </w:pPr>
      <w:r w:rsidRPr="00617BB6">
        <w:rPr>
          <w:lang w:val="nl-NL"/>
        </w:rPr>
        <w:t>behoud van het groene en open karakter, en</w:t>
      </w:r>
    </w:p>
    <w:p w14:paraId="3082D4C8" w14:textId="2CAC2E91" w:rsidR="00617BB6" w:rsidRPr="00617BB6" w:rsidRDefault="00617BB6" w:rsidP="00617BB6">
      <w:pPr>
        <w:pStyle w:val="ListParagraph"/>
        <w:numPr>
          <w:ilvl w:val="0"/>
          <w:numId w:val="30"/>
        </w:numPr>
        <w:rPr>
          <w:lang w:val="nl-NL"/>
        </w:rPr>
      </w:pPr>
      <w:r w:rsidRPr="00617BB6">
        <w:rPr>
          <w:lang w:val="nl-NL"/>
        </w:rPr>
        <w:t>zorgvuldige, beperkte verdichting op logische locaties (zoals nabij OV).</w:t>
      </w:r>
    </w:p>
    <w:p w14:paraId="2629CEB4" w14:textId="2519CF3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 xml:space="preserve">Verdichting mag geen automatisme worden. </w:t>
      </w:r>
      <w:r w:rsidR="00196CA1" w:rsidRPr="00196CA1">
        <w:rPr>
          <w:lang w:val="nl-NL"/>
        </w:rPr>
        <w:t>Bewoners mogen erop vertrouwen dat het karakter waarvoor zij hier zijn komen wonen niet stap voor stap verandert zonder duidelijke keuze.</w:t>
      </w:r>
      <w:r w:rsidR="00196CA1">
        <w:rPr>
          <w:lang w:val="nl-NL"/>
        </w:rPr>
        <w:t xml:space="preserve"> </w:t>
      </w:r>
      <w:r w:rsidR="00F85E4B" w:rsidRPr="00F85E4B">
        <w:rPr>
          <w:lang w:val="nl-NL"/>
        </w:rPr>
        <w:t xml:space="preserve">Voor BBB geldt: eerst voorzieningen en bereikbaarheid op orde, daarna pas verdere </w:t>
      </w:r>
      <w:r w:rsidR="00F85E4B" w:rsidRPr="00F85E4B">
        <w:rPr>
          <w:lang w:val="nl-NL"/>
        </w:rPr>
        <w:lastRenderedPageBreak/>
        <w:t>uitbreiding.</w:t>
      </w:r>
      <w:r w:rsidR="00F85E4B">
        <w:rPr>
          <w:lang w:val="nl-NL"/>
        </w:rPr>
        <w:t xml:space="preserve"> </w:t>
      </w:r>
      <w:r w:rsidRPr="00617BB6">
        <w:rPr>
          <w:lang w:val="nl-NL"/>
        </w:rPr>
        <w:t>Nieuwe plannen moeten aantoonbaar bijdragen aan leefkwaliteit, verkeersveiligheid en voorzieningen.</w:t>
      </w:r>
    </w:p>
    <w:p w14:paraId="2CEBA543" w14:textId="0E148F1D" w:rsidR="00617BB6" w:rsidRPr="00617BB6" w:rsidRDefault="00617BB6" w:rsidP="00617BB6">
      <w:pPr>
        <w:rPr>
          <w:lang w:val="nl-NL"/>
        </w:rPr>
      </w:pPr>
    </w:p>
    <w:p w14:paraId="672FB4F5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t>2. Grote voorzieningen en opvang</w:t>
      </w:r>
    </w:p>
    <w:p w14:paraId="2C3E0EFF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Schaal en karakter moeten zwaar meewegen.</w:t>
      </w:r>
    </w:p>
    <w:p w14:paraId="63D20701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Een woonwijk en een dorp vragen om maatwerk. Grote voorzieningen moeten:</w:t>
      </w:r>
    </w:p>
    <w:p w14:paraId="0B639E50" w14:textId="35789583" w:rsidR="00617BB6" w:rsidRPr="00617BB6" w:rsidRDefault="00617BB6" w:rsidP="00617BB6">
      <w:pPr>
        <w:pStyle w:val="ListParagraph"/>
        <w:numPr>
          <w:ilvl w:val="0"/>
          <w:numId w:val="31"/>
        </w:numPr>
        <w:rPr>
          <w:lang w:val="nl-NL"/>
        </w:rPr>
      </w:pPr>
      <w:r w:rsidRPr="00617BB6">
        <w:rPr>
          <w:lang w:val="nl-NL"/>
        </w:rPr>
        <w:t>evenwichtig over de stad worden verdeeld</w:t>
      </w:r>
      <w:r>
        <w:rPr>
          <w:lang w:val="nl-NL"/>
        </w:rPr>
        <w:t>,</w:t>
      </w:r>
    </w:p>
    <w:p w14:paraId="07BD1A97" w14:textId="408B7F77" w:rsidR="00617BB6" w:rsidRPr="00617BB6" w:rsidRDefault="00617BB6" w:rsidP="00617BB6">
      <w:pPr>
        <w:pStyle w:val="ListParagraph"/>
        <w:numPr>
          <w:ilvl w:val="0"/>
          <w:numId w:val="31"/>
        </w:numPr>
        <w:rPr>
          <w:lang w:val="nl-NL"/>
        </w:rPr>
      </w:pPr>
      <w:r w:rsidRPr="00617BB6">
        <w:rPr>
          <w:lang w:val="nl-NL"/>
        </w:rPr>
        <w:t>vooraf worden getoetst op draagvlak en uitvoerbaarheid</w:t>
      </w:r>
      <w:r>
        <w:rPr>
          <w:lang w:val="nl-NL"/>
        </w:rPr>
        <w:t>, en</w:t>
      </w:r>
    </w:p>
    <w:p w14:paraId="7CB1B6D1" w14:textId="42A5C867" w:rsidR="00617BB6" w:rsidRPr="00617BB6" w:rsidRDefault="00617BB6" w:rsidP="00617BB6">
      <w:pPr>
        <w:pStyle w:val="ListParagraph"/>
        <w:numPr>
          <w:ilvl w:val="0"/>
          <w:numId w:val="31"/>
        </w:numPr>
        <w:rPr>
          <w:lang w:val="nl-NL"/>
        </w:rPr>
      </w:pPr>
      <w:r w:rsidRPr="00617BB6">
        <w:rPr>
          <w:lang w:val="nl-NL"/>
        </w:rPr>
        <w:t>transparant worden voorbereid</w:t>
      </w:r>
      <w:r>
        <w:rPr>
          <w:lang w:val="nl-NL"/>
        </w:rPr>
        <w:t>.</w:t>
      </w:r>
    </w:p>
    <w:p w14:paraId="75048A54" w14:textId="77777777" w:rsidR="00617BB6" w:rsidRDefault="00617BB6" w:rsidP="00617BB6">
      <w:pPr>
        <w:pStyle w:val="Heading3"/>
        <w:rPr>
          <w:lang w:val="nl-NL"/>
        </w:rPr>
      </w:pPr>
    </w:p>
    <w:p w14:paraId="48BF7752" w14:textId="2F308FAC" w:rsidR="00617BB6" w:rsidRPr="00617BB6" w:rsidRDefault="00617BB6" w:rsidP="00617BB6">
      <w:pPr>
        <w:pStyle w:val="Heading3"/>
        <w:rPr>
          <w:lang w:val="nl-NL"/>
        </w:rPr>
      </w:pPr>
      <w:r w:rsidRPr="00617BB6">
        <w:rPr>
          <w:lang w:val="nl-NL"/>
        </w:rPr>
        <w:t>Lessen uit het AZC-traject</w:t>
      </w:r>
    </w:p>
    <w:p w14:paraId="74516751" w14:textId="536E3027" w:rsidR="00617BB6" w:rsidRPr="00617BB6" w:rsidRDefault="00F85E4B" w:rsidP="00617BB6">
      <w:pPr>
        <w:pStyle w:val="ListParagraph"/>
        <w:numPr>
          <w:ilvl w:val="0"/>
          <w:numId w:val="32"/>
        </w:numPr>
        <w:rPr>
          <w:lang w:val="nl-NL"/>
        </w:rPr>
      </w:pPr>
      <w:r w:rsidRPr="00F85E4B">
        <w:rPr>
          <w:lang w:val="nl-NL"/>
        </w:rPr>
        <w:t>Organiseer het gesprek vóórdat besluiten worden geconcretiseerd</w:t>
      </w:r>
      <w:r w:rsidR="00617BB6">
        <w:rPr>
          <w:lang w:val="nl-NL"/>
        </w:rPr>
        <w:t>,</w:t>
      </w:r>
    </w:p>
    <w:p w14:paraId="71F58928" w14:textId="5EB0C32A" w:rsidR="00617BB6" w:rsidRPr="00617BB6" w:rsidRDefault="00617BB6" w:rsidP="00617BB6">
      <w:pPr>
        <w:pStyle w:val="ListParagraph"/>
        <w:numPr>
          <w:ilvl w:val="0"/>
          <w:numId w:val="32"/>
        </w:numPr>
        <w:rPr>
          <w:lang w:val="nl-NL"/>
        </w:rPr>
      </w:pPr>
      <w:r>
        <w:rPr>
          <w:lang w:val="nl-NL"/>
        </w:rPr>
        <w:t>w</w:t>
      </w:r>
      <w:r w:rsidRPr="00617BB6">
        <w:rPr>
          <w:lang w:val="nl-NL"/>
        </w:rPr>
        <w:t>ees helder over randvoorwaarden</w:t>
      </w:r>
      <w:r>
        <w:rPr>
          <w:lang w:val="nl-NL"/>
        </w:rPr>
        <w:t>, en</w:t>
      </w:r>
    </w:p>
    <w:p w14:paraId="739BB199" w14:textId="70AA52BF" w:rsidR="00617BB6" w:rsidRPr="00617BB6" w:rsidRDefault="00617BB6" w:rsidP="00617BB6">
      <w:pPr>
        <w:pStyle w:val="ListParagraph"/>
        <w:numPr>
          <w:ilvl w:val="0"/>
          <w:numId w:val="32"/>
        </w:numPr>
        <w:rPr>
          <w:lang w:val="nl-NL"/>
        </w:rPr>
      </w:pPr>
      <w:r>
        <w:rPr>
          <w:lang w:val="nl-NL"/>
        </w:rPr>
        <w:t>o</w:t>
      </w:r>
      <w:r w:rsidRPr="00617BB6">
        <w:rPr>
          <w:lang w:val="nl-NL"/>
        </w:rPr>
        <w:t>rganiseer spreiding binnen de stad</w:t>
      </w:r>
      <w:r>
        <w:rPr>
          <w:lang w:val="nl-NL"/>
        </w:rPr>
        <w:t>.</w:t>
      </w:r>
    </w:p>
    <w:p w14:paraId="1159CDE4" w14:textId="2D6AC041" w:rsidR="00617BB6" w:rsidRDefault="00196CA1" w:rsidP="00617BB6">
      <w:pPr>
        <w:rPr>
          <w:lang w:val="nl-NL"/>
        </w:rPr>
      </w:pPr>
      <w:r w:rsidRPr="00196CA1">
        <w:rPr>
          <w:lang w:val="nl-NL"/>
        </w:rPr>
        <w:t>Vertrouwen vraagt om voorspelbaar bestuur én het besef dat draagvlak geen formaliteit is, maar een randvoorwaarde.</w:t>
      </w:r>
    </w:p>
    <w:p w14:paraId="7C5137C1" w14:textId="77777777" w:rsidR="00196CA1" w:rsidRPr="00196CA1" w:rsidRDefault="00196CA1" w:rsidP="00617BB6">
      <w:pPr>
        <w:rPr>
          <w:lang w:val="nl-NL"/>
        </w:rPr>
      </w:pPr>
    </w:p>
    <w:p w14:paraId="3D3C66F7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t>3. Verkeer, parkeren en bereikbaarheid</w:t>
      </w:r>
    </w:p>
    <w:p w14:paraId="5146E1FA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Verkeersveiligheid is leidend, zeker rond scholen en het winkelcentrum.</w:t>
      </w:r>
      <w:r w:rsidRPr="00617BB6">
        <w:rPr>
          <w:lang w:val="nl-NL"/>
        </w:rPr>
        <w:br/>
        <w:t>Doorstroming is belangrijk, maar niet belangrijker dan veiligheid.</w:t>
      </w:r>
    </w:p>
    <w:p w14:paraId="27582244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Parkeren blijft in principe gratis in woonwijken. Alleen bij aantoonbare structurele knelpunten kan maatwerk worden toegepast — altijd in overleg met bewoners.</w:t>
      </w:r>
    </w:p>
    <w:p w14:paraId="7B275A80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BBB wil investeren in:</w:t>
      </w:r>
    </w:p>
    <w:p w14:paraId="2FC7CB80" w14:textId="54D6BBA4" w:rsidR="00617BB6" w:rsidRPr="00617BB6" w:rsidRDefault="00617BB6" w:rsidP="00617BB6">
      <w:pPr>
        <w:pStyle w:val="ListParagraph"/>
        <w:numPr>
          <w:ilvl w:val="0"/>
          <w:numId w:val="33"/>
        </w:numPr>
        <w:rPr>
          <w:lang w:val="nl-NL"/>
        </w:rPr>
      </w:pPr>
      <w:r w:rsidRPr="00617BB6">
        <w:rPr>
          <w:lang w:val="nl-NL"/>
        </w:rPr>
        <w:t>hoogwaardige fietsverbindingen</w:t>
      </w:r>
      <w:r>
        <w:rPr>
          <w:lang w:val="nl-NL"/>
        </w:rPr>
        <w:t>,</w:t>
      </w:r>
    </w:p>
    <w:p w14:paraId="1ED6AFAA" w14:textId="66328A39" w:rsidR="00617BB6" w:rsidRPr="00617BB6" w:rsidRDefault="00617BB6" w:rsidP="00617BB6">
      <w:pPr>
        <w:pStyle w:val="ListParagraph"/>
        <w:numPr>
          <w:ilvl w:val="0"/>
          <w:numId w:val="33"/>
        </w:numPr>
        <w:rPr>
          <w:lang w:val="nl-NL"/>
        </w:rPr>
      </w:pPr>
      <w:r w:rsidRPr="00617BB6">
        <w:rPr>
          <w:lang w:val="nl-NL"/>
        </w:rPr>
        <w:t>veilige stallingen</w:t>
      </w:r>
      <w:r>
        <w:rPr>
          <w:lang w:val="nl-NL"/>
        </w:rPr>
        <w:t>, en</w:t>
      </w:r>
    </w:p>
    <w:p w14:paraId="2D1DCF25" w14:textId="3BED9AB4" w:rsidR="00617BB6" w:rsidRPr="00617BB6" w:rsidRDefault="00617BB6" w:rsidP="00617BB6">
      <w:pPr>
        <w:pStyle w:val="ListParagraph"/>
        <w:numPr>
          <w:ilvl w:val="0"/>
          <w:numId w:val="33"/>
        </w:numPr>
        <w:rPr>
          <w:lang w:val="nl-NL"/>
        </w:rPr>
      </w:pPr>
      <w:r w:rsidRPr="00617BB6">
        <w:rPr>
          <w:lang w:val="nl-NL"/>
        </w:rPr>
        <w:t>betere OV-verbindingen</w:t>
      </w:r>
      <w:r>
        <w:rPr>
          <w:lang w:val="nl-NL"/>
        </w:rPr>
        <w:t>.</w:t>
      </w:r>
    </w:p>
    <w:p w14:paraId="6BA095BB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Niet vanuit ideologie, maar om praktische keuzes mogelijk te maken.</w:t>
      </w:r>
    </w:p>
    <w:p w14:paraId="0A9D183B" w14:textId="560DA08D" w:rsidR="00617BB6" w:rsidRPr="00617BB6" w:rsidRDefault="00617BB6" w:rsidP="00617BB6">
      <w:pPr>
        <w:rPr>
          <w:lang w:val="nl-NL"/>
        </w:rPr>
      </w:pPr>
    </w:p>
    <w:p w14:paraId="47B7351F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lastRenderedPageBreak/>
        <w:t>4. Groen en landelijk gebied</w:t>
      </w:r>
    </w:p>
    <w:p w14:paraId="5A7DCE1C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De Groene Zoom is een essentiële buffer en recreatiezone en moet als zodanig beschermd blijven.</w:t>
      </w:r>
    </w:p>
    <w:p w14:paraId="2758FEEF" w14:textId="5A5401C4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Het gebied Over de Laak moet in hoofdzaak agrarisch en recreatief blijven.</w:t>
      </w:r>
      <w:r w:rsidRPr="00617BB6">
        <w:rPr>
          <w:lang w:val="nl-NL"/>
        </w:rPr>
        <w:br/>
        <w:t xml:space="preserve">Geen sluipende verstedelijking. </w:t>
      </w:r>
      <w:r w:rsidR="00196CA1" w:rsidRPr="00196CA1">
        <w:rPr>
          <w:lang w:val="nl-NL"/>
        </w:rPr>
        <w:t>De kracht van Vathorst is juist de balans tussen stad en landschap. Die balans willen wij actief bewaken.</w:t>
      </w:r>
      <w:r w:rsidR="00196CA1">
        <w:rPr>
          <w:lang w:val="nl-NL"/>
        </w:rPr>
        <w:t xml:space="preserve"> </w:t>
      </w:r>
      <w:r w:rsidRPr="00617BB6">
        <w:rPr>
          <w:lang w:val="nl-NL"/>
        </w:rPr>
        <w:t>Initiatieven zijn alleen passend als ze zorgvuldig worden ingepast en lokaal gedragen zijn.</w:t>
      </w:r>
      <w:r w:rsidR="00F85E4B">
        <w:rPr>
          <w:lang w:val="nl-NL"/>
        </w:rPr>
        <w:t xml:space="preserve"> </w:t>
      </w:r>
      <w:r w:rsidR="00F85E4B" w:rsidRPr="00F85E4B">
        <w:rPr>
          <w:lang w:val="nl-NL"/>
        </w:rPr>
        <w:t>Het gebied kan juist worden versterkt als recreatieve en landschappelijke kwaliteit voor de hele stad.</w:t>
      </w:r>
    </w:p>
    <w:p w14:paraId="1C38ECD8" w14:textId="54A4EC64" w:rsidR="00617BB6" w:rsidRPr="00617BB6" w:rsidRDefault="00617BB6" w:rsidP="00617BB6">
      <w:pPr>
        <w:rPr>
          <w:lang w:val="nl-NL"/>
        </w:rPr>
      </w:pPr>
    </w:p>
    <w:p w14:paraId="4EE2E206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t>5. Voorzieningen, zeggenschap en vertrouwen</w:t>
      </w:r>
    </w:p>
    <w:p w14:paraId="7105EBED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Groei zonder voorzieningen tast samenhang aan.</w:t>
      </w:r>
    </w:p>
    <w:p w14:paraId="0B38C495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BBB wil extra aandacht voor:</w:t>
      </w:r>
    </w:p>
    <w:p w14:paraId="1BDA47BF" w14:textId="57258F11" w:rsidR="00617BB6" w:rsidRPr="00617BB6" w:rsidRDefault="00617BB6" w:rsidP="00617BB6">
      <w:pPr>
        <w:pStyle w:val="ListParagraph"/>
        <w:numPr>
          <w:ilvl w:val="0"/>
          <w:numId w:val="34"/>
        </w:numPr>
        <w:rPr>
          <w:lang w:val="nl-NL"/>
        </w:rPr>
      </w:pPr>
      <w:r w:rsidRPr="00617BB6">
        <w:rPr>
          <w:lang w:val="nl-NL"/>
        </w:rPr>
        <w:t>jeugd- en sportvoorzieningen</w:t>
      </w:r>
      <w:r>
        <w:rPr>
          <w:lang w:val="nl-NL"/>
        </w:rPr>
        <w:t>,</w:t>
      </w:r>
    </w:p>
    <w:p w14:paraId="1FFF2608" w14:textId="56EE5EDC" w:rsidR="00617BB6" w:rsidRPr="00617BB6" w:rsidRDefault="00617BB6" w:rsidP="00617BB6">
      <w:pPr>
        <w:pStyle w:val="ListParagraph"/>
        <w:numPr>
          <w:ilvl w:val="0"/>
          <w:numId w:val="34"/>
        </w:numPr>
        <w:rPr>
          <w:lang w:val="nl-NL"/>
        </w:rPr>
      </w:pPr>
      <w:r w:rsidRPr="00617BB6">
        <w:rPr>
          <w:lang w:val="nl-NL"/>
        </w:rPr>
        <w:t>ontmoetingsplekken</w:t>
      </w:r>
      <w:r>
        <w:rPr>
          <w:lang w:val="nl-NL"/>
        </w:rPr>
        <w:t>,</w:t>
      </w:r>
    </w:p>
    <w:p w14:paraId="1A62CADD" w14:textId="063D35C0" w:rsidR="00617BB6" w:rsidRPr="00617BB6" w:rsidRDefault="00617BB6" w:rsidP="00617BB6">
      <w:pPr>
        <w:pStyle w:val="ListParagraph"/>
        <w:numPr>
          <w:ilvl w:val="0"/>
          <w:numId w:val="34"/>
        </w:numPr>
        <w:rPr>
          <w:lang w:val="nl-NL"/>
        </w:rPr>
      </w:pPr>
      <w:r w:rsidRPr="00617BB6">
        <w:rPr>
          <w:lang w:val="nl-NL"/>
        </w:rPr>
        <w:t>wijkhandhaving</w:t>
      </w:r>
      <w:r>
        <w:rPr>
          <w:lang w:val="nl-NL"/>
        </w:rPr>
        <w:t>, en</w:t>
      </w:r>
    </w:p>
    <w:p w14:paraId="5B0D3E79" w14:textId="7543B068" w:rsidR="00617BB6" w:rsidRPr="00617BB6" w:rsidRDefault="00617BB6" w:rsidP="00617BB6">
      <w:pPr>
        <w:pStyle w:val="ListParagraph"/>
        <w:numPr>
          <w:ilvl w:val="0"/>
          <w:numId w:val="34"/>
        </w:numPr>
        <w:rPr>
          <w:lang w:val="nl-NL"/>
        </w:rPr>
      </w:pPr>
      <w:r w:rsidRPr="00617BB6">
        <w:rPr>
          <w:lang w:val="nl-NL"/>
        </w:rPr>
        <w:t>ondersteuning van gezinnen</w:t>
      </w:r>
      <w:r>
        <w:rPr>
          <w:lang w:val="nl-NL"/>
        </w:rPr>
        <w:t>.</w:t>
      </w:r>
    </w:p>
    <w:p w14:paraId="26229F05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Wij staan positief tegenover:</w:t>
      </w:r>
    </w:p>
    <w:p w14:paraId="193B4E59" w14:textId="541210E6" w:rsidR="00617BB6" w:rsidRPr="00617BB6" w:rsidRDefault="00617BB6" w:rsidP="00617BB6">
      <w:pPr>
        <w:pStyle w:val="ListParagraph"/>
        <w:numPr>
          <w:ilvl w:val="0"/>
          <w:numId w:val="35"/>
        </w:numPr>
        <w:rPr>
          <w:lang w:val="nl-NL"/>
        </w:rPr>
      </w:pPr>
      <w:r w:rsidRPr="00617BB6">
        <w:rPr>
          <w:lang w:val="nl-NL"/>
        </w:rPr>
        <w:t>wijkpeilingen bij ingrijpende besluiten</w:t>
      </w:r>
      <w:r>
        <w:rPr>
          <w:lang w:val="nl-NL"/>
        </w:rPr>
        <w:t>,</w:t>
      </w:r>
    </w:p>
    <w:p w14:paraId="13396368" w14:textId="45C4758A" w:rsidR="00617BB6" w:rsidRPr="00617BB6" w:rsidRDefault="00617BB6" w:rsidP="00617BB6">
      <w:pPr>
        <w:pStyle w:val="ListParagraph"/>
        <w:numPr>
          <w:ilvl w:val="0"/>
          <w:numId w:val="35"/>
        </w:numPr>
        <w:rPr>
          <w:lang w:val="nl-NL"/>
        </w:rPr>
      </w:pPr>
      <w:r w:rsidRPr="00617BB6">
        <w:rPr>
          <w:lang w:val="nl-NL"/>
        </w:rPr>
        <w:t>versterking van gebiedsgericht werken</w:t>
      </w:r>
      <w:r>
        <w:rPr>
          <w:lang w:val="nl-NL"/>
        </w:rPr>
        <w:t>, en</w:t>
      </w:r>
    </w:p>
    <w:p w14:paraId="1BA753AA" w14:textId="1CDE193C" w:rsidR="00617BB6" w:rsidRPr="00617BB6" w:rsidRDefault="00617BB6" w:rsidP="00617BB6">
      <w:pPr>
        <w:pStyle w:val="ListParagraph"/>
        <w:numPr>
          <w:ilvl w:val="0"/>
          <w:numId w:val="35"/>
        </w:numPr>
        <w:rPr>
          <w:lang w:val="nl-NL"/>
        </w:rPr>
      </w:pPr>
      <w:r w:rsidRPr="00617BB6">
        <w:rPr>
          <w:lang w:val="nl-NL"/>
        </w:rPr>
        <w:t>een gebiedsraad met duidelijk mandaat en wijkbudget</w:t>
      </w:r>
      <w:r>
        <w:rPr>
          <w:lang w:val="nl-NL"/>
        </w:rPr>
        <w:t>.</w:t>
      </w:r>
    </w:p>
    <w:p w14:paraId="7D417426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Niet als symboliek, maar als vaste werkwijze.</w:t>
      </w:r>
    </w:p>
    <w:p w14:paraId="5311DC60" w14:textId="43CAC2EE" w:rsidR="00617BB6" w:rsidRPr="00617BB6" w:rsidRDefault="00617BB6" w:rsidP="00617BB6">
      <w:pPr>
        <w:rPr>
          <w:lang w:val="nl-NL"/>
        </w:rPr>
      </w:pPr>
    </w:p>
    <w:p w14:paraId="6F403167" w14:textId="77777777" w:rsidR="00617BB6" w:rsidRPr="00617BB6" w:rsidRDefault="00617BB6" w:rsidP="00617BB6">
      <w:pPr>
        <w:pStyle w:val="Heading2"/>
        <w:rPr>
          <w:lang w:val="nl-NL"/>
        </w:rPr>
      </w:pPr>
      <w:r w:rsidRPr="00617BB6">
        <w:rPr>
          <w:lang w:val="nl-NL"/>
        </w:rPr>
        <w:t>Samenwerking en bestuurlijke verantwoordelijkheid</w:t>
      </w:r>
    </w:p>
    <w:p w14:paraId="0CB43727" w14:textId="715C7F5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BBB Amersfoort wil niet alleen standpunten formuleren, maar ook verantwoordelijkheid nemen voor stabiel en uitvoerbaar bestuur.</w:t>
      </w:r>
      <w:r w:rsidR="00F85E4B">
        <w:rPr>
          <w:lang w:val="nl-NL"/>
        </w:rPr>
        <w:t xml:space="preserve"> </w:t>
      </w:r>
      <w:r w:rsidR="00196CA1" w:rsidRPr="00196CA1">
        <w:rPr>
          <w:lang w:val="nl-NL"/>
        </w:rPr>
        <w:t>Dat betekent keuzes durven maken, duidelijke grenzen stellen en tegelijkertijd bereid zijn samen te werken aan haalbare oplossingen</w:t>
      </w:r>
      <w:r w:rsidR="00F85E4B" w:rsidRPr="00F85E4B">
        <w:rPr>
          <w:lang w:val="nl-NL"/>
        </w:rPr>
        <w:t>.</w:t>
      </w:r>
    </w:p>
    <w:p w14:paraId="78B49ADF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Daarom stellen wij voor:</w:t>
      </w:r>
    </w:p>
    <w:p w14:paraId="43A656B2" w14:textId="0C657128" w:rsidR="00617BB6" w:rsidRPr="00617BB6" w:rsidRDefault="00617BB6" w:rsidP="00617BB6">
      <w:pPr>
        <w:pStyle w:val="ListParagraph"/>
        <w:numPr>
          <w:ilvl w:val="0"/>
          <w:numId w:val="36"/>
        </w:numPr>
        <w:rPr>
          <w:lang w:val="nl-NL"/>
        </w:rPr>
      </w:pPr>
      <w:r>
        <w:rPr>
          <w:lang w:val="nl-NL"/>
        </w:rPr>
        <w:t>i</w:t>
      </w:r>
      <w:r w:rsidRPr="00617BB6">
        <w:rPr>
          <w:lang w:val="nl-NL"/>
        </w:rPr>
        <w:t>n het voorjaar een werkbezoek te organiseren in Vathorst en Hooglanderveen om samen concrete knelpunten en kansen in kaart te brengen</w:t>
      </w:r>
      <w:r>
        <w:rPr>
          <w:lang w:val="nl-NL"/>
        </w:rPr>
        <w:t>,</w:t>
      </w:r>
    </w:p>
    <w:p w14:paraId="5F58C3E7" w14:textId="690A5A9A" w:rsidR="00617BB6" w:rsidRPr="00617BB6" w:rsidRDefault="00617BB6" w:rsidP="00617BB6">
      <w:pPr>
        <w:pStyle w:val="ListParagraph"/>
        <w:numPr>
          <w:ilvl w:val="0"/>
          <w:numId w:val="36"/>
        </w:numPr>
        <w:rPr>
          <w:lang w:val="nl-NL"/>
        </w:rPr>
      </w:pPr>
      <w:r>
        <w:rPr>
          <w:lang w:val="nl-NL"/>
        </w:rPr>
        <w:lastRenderedPageBreak/>
        <w:t>h</w:t>
      </w:r>
      <w:r w:rsidRPr="00617BB6">
        <w:rPr>
          <w:lang w:val="nl-NL"/>
        </w:rPr>
        <w:t>alfjaarlijks overleg tussen fractie en uw bestuur om ontwikkelingen tijdig te bespreken</w:t>
      </w:r>
      <w:r>
        <w:rPr>
          <w:lang w:val="nl-NL"/>
        </w:rPr>
        <w:t>, en</w:t>
      </w:r>
    </w:p>
    <w:p w14:paraId="6B605B91" w14:textId="20066500" w:rsidR="00617BB6" w:rsidRPr="00617BB6" w:rsidRDefault="00617BB6" w:rsidP="00617BB6">
      <w:pPr>
        <w:pStyle w:val="ListParagraph"/>
        <w:numPr>
          <w:ilvl w:val="0"/>
          <w:numId w:val="36"/>
        </w:numPr>
        <w:rPr>
          <w:lang w:val="nl-NL"/>
        </w:rPr>
      </w:pPr>
      <w:r>
        <w:rPr>
          <w:lang w:val="nl-NL"/>
        </w:rPr>
        <w:t>b</w:t>
      </w:r>
      <w:r w:rsidRPr="00617BB6">
        <w:rPr>
          <w:lang w:val="nl-NL"/>
        </w:rPr>
        <w:t>ij majeure projecten vooraf een gezamenlijke verkenning te doen, zodat verrassing en polarisatie worden voorkomen.</w:t>
      </w:r>
    </w:p>
    <w:p w14:paraId="6AA5C408" w14:textId="14541AFA" w:rsidR="00617BB6" w:rsidRPr="00196CA1" w:rsidRDefault="00617BB6" w:rsidP="00617BB6">
      <w:pPr>
        <w:rPr>
          <w:lang w:val="nl-NL"/>
        </w:rPr>
      </w:pPr>
      <w:r w:rsidRPr="00617BB6">
        <w:rPr>
          <w:lang w:val="nl-NL"/>
        </w:rPr>
        <w:t>Wij geloven dat goed bestuur begint bij vroegtijdig overleg, duidelijke kaders en wederzijds vertrouwen.</w:t>
      </w:r>
      <w:r w:rsidR="00196CA1">
        <w:rPr>
          <w:lang w:val="nl-NL"/>
        </w:rPr>
        <w:t xml:space="preserve"> </w:t>
      </w:r>
      <w:r w:rsidR="00196CA1" w:rsidRPr="00196CA1">
        <w:rPr>
          <w:lang w:val="nl-NL"/>
        </w:rPr>
        <w:t>Vathorst en Hooglanderveen verdienen geen ad-hocbeleid, maar consistente koers en betrouwbare samenwerking.</w:t>
      </w:r>
    </w:p>
    <w:p w14:paraId="745E5892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Wij kijken uit naar het debat op 11 maart in het Icoontheater en zetten het gesprek daarna graag voort.</w:t>
      </w:r>
    </w:p>
    <w:p w14:paraId="6278C7EE" w14:textId="77777777" w:rsidR="00617BB6" w:rsidRPr="00617BB6" w:rsidRDefault="00617BB6" w:rsidP="00617BB6">
      <w:pPr>
        <w:rPr>
          <w:lang w:val="nl-NL"/>
        </w:rPr>
      </w:pPr>
      <w:r w:rsidRPr="00617BB6">
        <w:rPr>
          <w:lang w:val="nl-NL"/>
        </w:rPr>
        <w:t>Met vriendelijke groet,</w:t>
      </w:r>
    </w:p>
    <w:p w14:paraId="0C95E590" w14:textId="6EC3FA0D" w:rsidR="003A5AD4" w:rsidRPr="00617BB6" w:rsidRDefault="00617BB6" w:rsidP="000022DC">
      <w:pPr>
        <w:rPr>
          <w:lang w:val="nl-NL"/>
        </w:rPr>
      </w:pPr>
      <w:r>
        <w:rPr>
          <w:rStyle w:val="Strong"/>
          <w:lang w:val="nl-NL"/>
        </w:rPr>
        <w:t>Ans Oude Luttikhuis</w:t>
      </w:r>
      <w:r w:rsidRPr="00617BB6">
        <w:rPr>
          <w:lang w:val="nl-NL"/>
        </w:rPr>
        <w:br/>
        <w:t>BBB Amersfoort</w:t>
      </w:r>
    </w:p>
    <w:sectPr w:rsidR="003A5AD4" w:rsidRPr="00617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344B" w14:textId="77777777" w:rsidR="00123017" w:rsidRDefault="00123017" w:rsidP="0066535F">
      <w:pPr>
        <w:spacing w:after="0" w:line="240" w:lineRule="auto"/>
      </w:pPr>
      <w:r>
        <w:separator/>
      </w:r>
    </w:p>
  </w:endnote>
  <w:endnote w:type="continuationSeparator" w:id="0">
    <w:p w14:paraId="2BBB963C" w14:textId="77777777" w:rsidR="00123017" w:rsidRDefault="00123017" w:rsidP="0066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413C" w14:textId="77777777" w:rsidR="0066535F" w:rsidRDefault="00665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AB8A" w14:textId="77777777" w:rsidR="0066535F" w:rsidRDefault="00665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7FDD" w14:textId="77777777" w:rsidR="0066535F" w:rsidRDefault="00665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9F0A" w14:textId="77777777" w:rsidR="00123017" w:rsidRDefault="00123017" w:rsidP="0066535F">
      <w:pPr>
        <w:spacing w:after="0" w:line="240" w:lineRule="auto"/>
      </w:pPr>
      <w:r>
        <w:separator/>
      </w:r>
    </w:p>
  </w:footnote>
  <w:footnote w:type="continuationSeparator" w:id="0">
    <w:p w14:paraId="14CF87FD" w14:textId="77777777" w:rsidR="00123017" w:rsidRDefault="00123017" w:rsidP="0066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3DEE" w14:textId="156DB9D7" w:rsidR="0066535F" w:rsidRDefault="00123017">
    <w:pPr>
      <w:pStyle w:val="Header"/>
    </w:pPr>
    <w:r>
      <w:rPr>
        <w:noProof/>
      </w:rPr>
      <w:pict w14:anchorId="27EA73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742072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7C0" w14:textId="7AB25B3B" w:rsidR="0066535F" w:rsidRDefault="00123017">
    <w:pPr>
      <w:pStyle w:val="Header"/>
    </w:pPr>
    <w:r>
      <w:rPr>
        <w:noProof/>
      </w:rPr>
      <w:pict w14:anchorId="5E906C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742073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F191" w14:textId="19FC50F3" w:rsidR="0066535F" w:rsidRDefault="00123017">
    <w:pPr>
      <w:pStyle w:val="Header"/>
    </w:pPr>
    <w:r>
      <w:rPr>
        <w:noProof/>
      </w:rPr>
      <w:pict w14:anchorId="721EFB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742071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89A"/>
    <w:multiLevelType w:val="multilevel"/>
    <w:tmpl w:val="F2B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1519"/>
    <w:multiLevelType w:val="multilevel"/>
    <w:tmpl w:val="08A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B6F96"/>
    <w:multiLevelType w:val="hybridMultilevel"/>
    <w:tmpl w:val="2E5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7A12"/>
    <w:multiLevelType w:val="multilevel"/>
    <w:tmpl w:val="9ED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724F5"/>
    <w:multiLevelType w:val="multilevel"/>
    <w:tmpl w:val="F8A2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31733"/>
    <w:multiLevelType w:val="multilevel"/>
    <w:tmpl w:val="803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204C0"/>
    <w:multiLevelType w:val="multilevel"/>
    <w:tmpl w:val="C51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6194"/>
    <w:multiLevelType w:val="multilevel"/>
    <w:tmpl w:val="4CD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60DFE"/>
    <w:multiLevelType w:val="multilevel"/>
    <w:tmpl w:val="FDF6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2244A"/>
    <w:multiLevelType w:val="multilevel"/>
    <w:tmpl w:val="E34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16CED"/>
    <w:multiLevelType w:val="multilevel"/>
    <w:tmpl w:val="390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20424"/>
    <w:multiLevelType w:val="multilevel"/>
    <w:tmpl w:val="141A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31C6E"/>
    <w:multiLevelType w:val="multilevel"/>
    <w:tmpl w:val="9F9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D3D41"/>
    <w:multiLevelType w:val="multilevel"/>
    <w:tmpl w:val="5F0C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16C9E"/>
    <w:multiLevelType w:val="hybridMultilevel"/>
    <w:tmpl w:val="73F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52656"/>
    <w:multiLevelType w:val="multilevel"/>
    <w:tmpl w:val="B94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A4A46"/>
    <w:multiLevelType w:val="multilevel"/>
    <w:tmpl w:val="5C6A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C5356"/>
    <w:multiLevelType w:val="multilevel"/>
    <w:tmpl w:val="A414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77195"/>
    <w:multiLevelType w:val="hybridMultilevel"/>
    <w:tmpl w:val="3E1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55527"/>
    <w:multiLevelType w:val="multilevel"/>
    <w:tmpl w:val="256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7E073F"/>
    <w:multiLevelType w:val="multilevel"/>
    <w:tmpl w:val="55F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A0CFB"/>
    <w:multiLevelType w:val="multilevel"/>
    <w:tmpl w:val="436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01A"/>
    <w:multiLevelType w:val="multilevel"/>
    <w:tmpl w:val="355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56C12"/>
    <w:multiLevelType w:val="multilevel"/>
    <w:tmpl w:val="7168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A0770"/>
    <w:multiLevelType w:val="multilevel"/>
    <w:tmpl w:val="1F9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714D07"/>
    <w:multiLevelType w:val="multilevel"/>
    <w:tmpl w:val="909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759F5"/>
    <w:multiLevelType w:val="hybridMultilevel"/>
    <w:tmpl w:val="C800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3F87"/>
    <w:multiLevelType w:val="multilevel"/>
    <w:tmpl w:val="CC3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B064D"/>
    <w:multiLevelType w:val="multilevel"/>
    <w:tmpl w:val="F338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451F5"/>
    <w:multiLevelType w:val="multilevel"/>
    <w:tmpl w:val="B13A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A11DBC"/>
    <w:multiLevelType w:val="multilevel"/>
    <w:tmpl w:val="FADC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05923"/>
    <w:multiLevelType w:val="hybridMultilevel"/>
    <w:tmpl w:val="97D2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0D35"/>
    <w:multiLevelType w:val="hybridMultilevel"/>
    <w:tmpl w:val="A150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97D3E"/>
    <w:multiLevelType w:val="multilevel"/>
    <w:tmpl w:val="F7E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03DFB"/>
    <w:multiLevelType w:val="hybridMultilevel"/>
    <w:tmpl w:val="1118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610AD"/>
    <w:multiLevelType w:val="multilevel"/>
    <w:tmpl w:val="D30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63298">
    <w:abstractNumId w:val="8"/>
  </w:num>
  <w:num w:numId="2" w16cid:durableId="1713651364">
    <w:abstractNumId w:val="24"/>
  </w:num>
  <w:num w:numId="3" w16cid:durableId="86778759">
    <w:abstractNumId w:val="27"/>
  </w:num>
  <w:num w:numId="4" w16cid:durableId="408698099">
    <w:abstractNumId w:val="10"/>
  </w:num>
  <w:num w:numId="5" w16cid:durableId="915745745">
    <w:abstractNumId w:val="28"/>
  </w:num>
  <w:num w:numId="6" w16cid:durableId="290479638">
    <w:abstractNumId w:val="17"/>
  </w:num>
  <w:num w:numId="7" w16cid:durableId="1157645992">
    <w:abstractNumId w:val="15"/>
  </w:num>
  <w:num w:numId="8" w16cid:durableId="1469471530">
    <w:abstractNumId w:val="22"/>
  </w:num>
  <w:num w:numId="9" w16cid:durableId="1574392093">
    <w:abstractNumId w:val="13"/>
  </w:num>
  <w:num w:numId="10" w16cid:durableId="1125270195">
    <w:abstractNumId w:val="3"/>
  </w:num>
  <w:num w:numId="11" w16cid:durableId="1410955534">
    <w:abstractNumId w:val="7"/>
  </w:num>
  <w:num w:numId="12" w16cid:durableId="1766266422">
    <w:abstractNumId w:val="23"/>
  </w:num>
  <w:num w:numId="13" w16cid:durableId="580259346">
    <w:abstractNumId w:val="19"/>
  </w:num>
  <w:num w:numId="14" w16cid:durableId="631709243">
    <w:abstractNumId w:val="33"/>
  </w:num>
  <w:num w:numId="15" w16cid:durableId="2085758254">
    <w:abstractNumId w:val="29"/>
  </w:num>
  <w:num w:numId="16" w16cid:durableId="581259172">
    <w:abstractNumId w:val="0"/>
  </w:num>
  <w:num w:numId="17" w16cid:durableId="855657576">
    <w:abstractNumId w:val="4"/>
  </w:num>
  <w:num w:numId="18" w16cid:durableId="1055474845">
    <w:abstractNumId w:val="35"/>
  </w:num>
  <w:num w:numId="19" w16cid:durableId="2031486659">
    <w:abstractNumId w:val="30"/>
  </w:num>
  <w:num w:numId="20" w16cid:durableId="688989904">
    <w:abstractNumId w:val="12"/>
  </w:num>
  <w:num w:numId="21" w16cid:durableId="925192422">
    <w:abstractNumId w:val="16"/>
  </w:num>
  <w:num w:numId="22" w16cid:durableId="1801265474">
    <w:abstractNumId w:val="21"/>
  </w:num>
  <w:num w:numId="23" w16cid:durableId="208154323">
    <w:abstractNumId w:val="6"/>
  </w:num>
  <w:num w:numId="24" w16cid:durableId="1957517747">
    <w:abstractNumId w:val="1"/>
  </w:num>
  <w:num w:numId="25" w16cid:durableId="2026052092">
    <w:abstractNumId w:val="25"/>
  </w:num>
  <w:num w:numId="26" w16cid:durableId="209608825">
    <w:abstractNumId w:val="5"/>
  </w:num>
  <w:num w:numId="27" w16cid:durableId="1298612135">
    <w:abstractNumId w:val="20"/>
  </w:num>
  <w:num w:numId="28" w16cid:durableId="143086604">
    <w:abstractNumId w:val="11"/>
  </w:num>
  <w:num w:numId="29" w16cid:durableId="1519076540">
    <w:abstractNumId w:val="9"/>
  </w:num>
  <w:num w:numId="30" w16cid:durableId="762994169">
    <w:abstractNumId w:val="26"/>
  </w:num>
  <w:num w:numId="31" w16cid:durableId="644898374">
    <w:abstractNumId w:val="31"/>
  </w:num>
  <w:num w:numId="32" w16cid:durableId="350421011">
    <w:abstractNumId w:val="34"/>
  </w:num>
  <w:num w:numId="33" w16cid:durableId="47263060">
    <w:abstractNumId w:val="14"/>
  </w:num>
  <w:num w:numId="34" w16cid:durableId="570654044">
    <w:abstractNumId w:val="2"/>
  </w:num>
  <w:num w:numId="35" w16cid:durableId="1451318529">
    <w:abstractNumId w:val="18"/>
  </w:num>
  <w:num w:numId="36" w16cid:durableId="12740505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D4"/>
    <w:rsid w:val="000022DC"/>
    <w:rsid w:val="00090064"/>
    <w:rsid w:val="00123017"/>
    <w:rsid w:val="00196CA1"/>
    <w:rsid w:val="001B70DD"/>
    <w:rsid w:val="001F11F8"/>
    <w:rsid w:val="001F7145"/>
    <w:rsid w:val="003A5AD4"/>
    <w:rsid w:val="00517B0D"/>
    <w:rsid w:val="005670C0"/>
    <w:rsid w:val="00617BB6"/>
    <w:rsid w:val="0066535F"/>
    <w:rsid w:val="006E1DEE"/>
    <w:rsid w:val="0083493B"/>
    <w:rsid w:val="008D5995"/>
    <w:rsid w:val="00B6601C"/>
    <w:rsid w:val="00DD0D84"/>
    <w:rsid w:val="00E01965"/>
    <w:rsid w:val="00E71C1F"/>
    <w:rsid w:val="00EB20C9"/>
    <w:rsid w:val="00EC625A"/>
    <w:rsid w:val="00F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66608"/>
  <w15:chartTrackingRefBased/>
  <w15:docId w15:val="{F74C84C8-4460-1E42-8143-FD1456A0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A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5AD4"/>
    <w:rPr>
      <w:b/>
      <w:bCs/>
    </w:rPr>
  </w:style>
  <w:style w:type="character" w:styleId="Emphasis">
    <w:name w:val="Emphasis"/>
    <w:basedOn w:val="DefaultParagraphFont"/>
    <w:uiPriority w:val="20"/>
    <w:qFormat/>
    <w:rsid w:val="00517B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5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35F"/>
  </w:style>
  <w:style w:type="paragraph" w:styleId="Footer">
    <w:name w:val="footer"/>
    <w:basedOn w:val="Normal"/>
    <w:link w:val="FooterChar"/>
    <w:uiPriority w:val="99"/>
    <w:unhideWhenUsed/>
    <w:rsid w:val="00665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35F"/>
  </w:style>
  <w:style w:type="character" w:styleId="Hyperlink">
    <w:name w:val="Hyperlink"/>
    <w:basedOn w:val="DefaultParagraphFont"/>
    <w:uiPriority w:val="99"/>
    <w:semiHidden/>
    <w:unhideWhenUsed/>
    <w:rsid w:val="00617BB6"/>
    <w:rPr>
      <w:color w:val="0000FF"/>
      <w:u w:val="single"/>
    </w:rPr>
  </w:style>
  <w:style w:type="character" w:customStyle="1" w:styleId="relative">
    <w:name w:val="relative"/>
    <w:basedOn w:val="DefaultParagraphFont"/>
    <w:rsid w:val="00617BB6"/>
  </w:style>
  <w:style w:type="paragraph" w:customStyle="1" w:styleId="not-prose">
    <w:name w:val="not-prose"/>
    <w:basedOn w:val="Normal"/>
    <w:rsid w:val="006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uur@belangvanvathorst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Wuijckhuijse</dc:creator>
  <cp:keywords/>
  <dc:description/>
  <cp:lastModifiedBy>Hans van Wuijckhuijse</cp:lastModifiedBy>
  <cp:revision>5</cp:revision>
  <dcterms:created xsi:type="dcterms:W3CDTF">2026-03-03T09:57:00Z</dcterms:created>
  <dcterms:modified xsi:type="dcterms:W3CDTF">2026-03-03T10:21:00Z</dcterms:modified>
</cp:coreProperties>
</file>